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2019青岛国际版权交易会奖项申请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各参展企业：</w:t>
      </w: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2019年青岛国际版权交易会开展在即。为提高各组织方、参展商及相关服务企业参加国际版交会的热情，全面提高大会质量和影响力，根据执委会讨论决定，2019青岛国际版权交易大会共设置六大奖项，自6月25日起，奖项申报通道正式开启</w:t>
      </w:r>
      <w:r>
        <w:rPr>
          <w:rFonts w:hint="eastAsia"/>
          <w:sz w:val="30"/>
          <w:szCs w:val="30"/>
          <w:lang w:eastAsia="zh-CN"/>
        </w:rPr>
        <w:t>，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请登录版交会官方网站http://bjh.bandaoapp.com/，点击右上角“参与评奖”进行奖项申报</w:t>
      </w:r>
      <w:r>
        <w:rPr>
          <w:rFonts w:hint="eastAsia"/>
          <w:sz w:val="30"/>
          <w:szCs w:val="30"/>
        </w:rPr>
        <w:t xml:space="preserve">。六大奖项分别为：    </w:t>
      </w: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2019青岛国际版权交易会中国IP企业领军奖</w:t>
      </w: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2019青岛国际版权交易会.最佳IP赋能企业金奖/银奖</w:t>
      </w: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2019青岛国际版权交易会.最佳版权示范单位金奖/银奖</w:t>
      </w: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2019青岛国际版权交易会.最佳版权产品金奖/银奖</w:t>
      </w: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2019青岛国际版权交易会.最佳组织奖</w:t>
      </w: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2019青岛国际版权交易会.最佳合作伙伴奖</w:t>
      </w:r>
    </w:p>
    <w:p>
      <w:pPr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各企业可参照企业特色进行申报，最多可同时申报3个奖项。报奖通道将于6月28日下午5点正式关闭。请各企业在此之前将申报表和材料发送至ICF2019@126com。逾期将取消参选资格</w:t>
      </w:r>
    </w:p>
    <w:p>
      <w:pPr>
        <w:rPr>
          <w:rFonts w:asciiTheme="minorEastAsia" w:hAnsiTheme="minorEastAsia" w:eastAsiaTheme="minorEastAsia" w:cstheme="minorEastAsia"/>
          <w:sz w:val="30"/>
          <w:szCs w:val="30"/>
        </w:rPr>
      </w:pPr>
      <w:r>
        <w:pict>
          <v:shape id="_x0000_s1026" o:spid="_x0000_s1026" o:spt="75" type="#_x0000_t75" style="position:absolute;left:0pt;margin-left:260.25pt;margin-top:6.45pt;height:116.25pt;width:116.25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2094227849"/>
            <o:lock v:ext="edit" aspectratio="t"/>
          </v:shape>
        </w:pict>
      </w:r>
    </w:p>
    <w:p>
      <w:pPr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                   2019青岛国际版权交易会执委会</w:t>
      </w:r>
    </w:p>
    <w:p>
      <w:pPr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                        2019年6月24日</w:t>
      </w:r>
    </w:p>
    <w:p>
      <w:pPr>
        <w:rPr>
          <w:rFonts w:asciiTheme="minorEastAsia" w:hAnsiTheme="minorEastAsia" w:eastAsiaTheme="minorEastAsia" w:cstheme="minorEastAsia"/>
          <w:sz w:val="30"/>
          <w:szCs w:val="30"/>
        </w:rPr>
      </w:pPr>
    </w:p>
    <w:p/>
    <w:tbl>
      <w:tblPr>
        <w:tblStyle w:val="2"/>
        <w:tblW w:w="8656" w:type="dxa"/>
        <w:tblInd w:w="0" w:type="dxa"/>
        <w:tblBorders>
          <w:top w:val="single" w:color="2F5496" w:sz="18" w:space="0"/>
          <w:left w:val="single" w:color="2F5496" w:sz="18" w:space="0"/>
          <w:bottom w:val="single" w:color="2F5496" w:sz="18" w:space="0"/>
          <w:right w:val="single" w:color="2F5496" w:sz="18" w:space="0"/>
          <w:insideH w:val="single" w:color="2F5496" w:sz="4" w:space="0"/>
          <w:insideV w:val="single" w:color="2F549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832"/>
        <w:gridCol w:w="1833"/>
        <w:gridCol w:w="3665"/>
      </w:tblGrid>
      <w:tr>
        <w:tblPrEx>
          <w:tblBorders>
            <w:top w:val="single" w:color="2F5496" w:sz="18" w:space="0"/>
            <w:left w:val="single" w:color="2F5496" w:sz="18" w:space="0"/>
            <w:bottom w:val="single" w:color="2F5496" w:sz="18" w:space="0"/>
            <w:right w:val="single" w:color="2F5496" w:sz="18" w:space="0"/>
            <w:insideH w:val="single" w:color="2F5496" w:sz="4" w:space="0"/>
            <w:insideV w:val="single" w:color="2F549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656" w:type="dxa"/>
            <w:gridSpan w:val="4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019青岛国际版权交易会奖项申报表</w:t>
            </w:r>
          </w:p>
        </w:tc>
      </w:tr>
      <w:tr>
        <w:tblPrEx>
          <w:tblBorders>
            <w:top w:val="single" w:color="2F5496" w:sz="18" w:space="0"/>
            <w:left w:val="single" w:color="2F5496" w:sz="18" w:space="0"/>
            <w:bottom w:val="single" w:color="2F5496" w:sz="18" w:space="0"/>
            <w:right w:val="single" w:color="2F5496" w:sz="18" w:space="0"/>
            <w:insideH w:val="single" w:color="2F5496" w:sz="4" w:space="0"/>
            <w:insideV w:val="single" w:color="2F549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26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企业名称</w:t>
            </w:r>
          </w:p>
        </w:tc>
        <w:tc>
          <w:tcPr>
            <w:tcW w:w="7330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2F5496" w:sz="18" w:space="0"/>
            <w:left w:val="single" w:color="2F5496" w:sz="18" w:space="0"/>
            <w:bottom w:val="single" w:color="2F5496" w:sz="18" w:space="0"/>
            <w:right w:val="single" w:color="2F5496" w:sz="18" w:space="0"/>
            <w:insideH w:val="single" w:color="2F5496" w:sz="4" w:space="0"/>
            <w:insideV w:val="single" w:color="2F549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26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1832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3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665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2F5496" w:sz="18" w:space="0"/>
            <w:left w:val="single" w:color="2F5496" w:sz="18" w:space="0"/>
            <w:bottom w:val="single" w:color="2F5496" w:sz="18" w:space="0"/>
            <w:right w:val="single" w:color="2F5496" w:sz="18" w:space="0"/>
            <w:insideH w:val="single" w:color="2F5496" w:sz="4" w:space="0"/>
            <w:insideV w:val="single" w:color="2F549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9" w:hRule="atLeast"/>
        </w:trPr>
        <w:tc>
          <w:tcPr>
            <w:tcW w:w="1326" w:type="dxa"/>
          </w:tcPr>
          <w:tbl>
            <w:tblPr>
              <w:tblStyle w:val="2"/>
              <w:tblpPr w:leftFromText="180" w:rightFromText="180" w:vertAnchor="text" w:horzAnchor="page" w:tblpX="92" w:tblpY="94"/>
              <w:tblOverlap w:val="never"/>
              <w:tblW w:w="8656" w:type="dxa"/>
              <w:tblInd w:w="0" w:type="dxa"/>
              <w:tblBorders>
                <w:top w:val="single" w:color="2F5496" w:sz="18" w:space="0"/>
                <w:left w:val="single" w:color="2F5496" w:sz="18" w:space="0"/>
                <w:bottom w:val="single" w:color="2F5496" w:sz="18" w:space="0"/>
                <w:right w:val="single" w:color="2F5496" w:sz="18" w:space="0"/>
                <w:insideH w:val="single" w:color="2F5496" w:sz="4" w:space="0"/>
                <w:insideV w:val="single" w:color="2F5496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56"/>
            </w:tblGrid>
            <w:tr>
              <w:tblPrEx>
                <w:tblBorders>
                  <w:top w:val="single" w:color="2F5496" w:sz="18" w:space="0"/>
                  <w:left w:val="single" w:color="2F5496" w:sz="18" w:space="0"/>
                  <w:bottom w:val="single" w:color="2F5496" w:sz="18" w:space="0"/>
                  <w:right w:val="single" w:color="2F5496" w:sz="18" w:space="0"/>
                  <w:insideH w:val="single" w:color="2F5496" w:sz="4" w:space="0"/>
                  <w:insideV w:val="single" w:color="2F5496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4" w:hRule="atLeast"/>
              </w:trPr>
              <w:tc>
                <w:tcPr>
                  <w:tcW w:w="8656" w:type="dxa"/>
                  <w:tcBorders>
                    <w:top w:val="single" w:color="2F5496" w:sz="18" w:space="0"/>
                  </w:tcBorders>
                  <w:shd w:val="clear" w:color="auto" w:fill="2F5496"/>
                </w:tcPr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黑体" w:hAnsi="黑体" w:eastAsia="黑体" w:cs="仿宋"/>
                      <w:b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（最多可选3项）</w:t>
            </w:r>
          </w:p>
        </w:tc>
        <w:tc>
          <w:tcPr>
            <w:tcW w:w="7330" w:type="dxa"/>
            <w:gridSpan w:val="3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□1.中国IP企业领军奖</w:t>
            </w: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□2.最佳IP赋能企业金奖/银奖</w:t>
            </w: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□3.最佳版权示范单位奖（出版社/协会/联盟）金奖/银奖</w:t>
            </w: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□4.最佳版权产品金奖/银奖（需提供产品照片）</w:t>
            </w: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□5.最佳组织奖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□6.最佳合作伙伴奖</w:t>
            </w:r>
          </w:p>
        </w:tc>
      </w:tr>
      <w:tr>
        <w:tblPrEx>
          <w:tblBorders>
            <w:top w:val="single" w:color="2F5496" w:sz="18" w:space="0"/>
            <w:left w:val="single" w:color="2F5496" w:sz="18" w:space="0"/>
            <w:bottom w:val="single" w:color="2F5496" w:sz="18" w:space="0"/>
            <w:right w:val="single" w:color="2F5496" w:sz="18" w:space="0"/>
            <w:insideH w:val="single" w:color="2F5496" w:sz="4" w:space="0"/>
            <w:insideV w:val="single" w:color="2F549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26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理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由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（限300字以内）</w:t>
            </w:r>
          </w:p>
        </w:tc>
        <w:tc>
          <w:tcPr>
            <w:tcW w:w="7330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2F5496" w:sz="18" w:space="0"/>
            <w:left w:val="single" w:color="2F5496" w:sz="18" w:space="0"/>
            <w:bottom w:val="single" w:color="2F5496" w:sz="18" w:space="0"/>
            <w:right w:val="single" w:color="2F5496" w:sz="18" w:space="0"/>
            <w:insideH w:val="single" w:color="2F5496" w:sz="4" w:space="0"/>
            <w:insideV w:val="single" w:color="2F549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26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况</w:t>
            </w:r>
          </w:p>
        </w:tc>
        <w:tc>
          <w:tcPr>
            <w:tcW w:w="7330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8F92051"/>
    <w:rsid w:val="00225270"/>
    <w:rsid w:val="00282CE9"/>
    <w:rsid w:val="00610D3B"/>
    <w:rsid w:val="007B2052"/>
    <w:rsid w:val="008213BC"/>
    <w:rsid w:val="009E2F94"/>
    <w:rsid w:val="00CD3467"/>
    <w:rsid w:val="00E117F6"/>
    <w:rsid w:val="00E633DD"/>
    <w:rsid w:val="05621473"/>
    <w:rsid w:val="05C93717"/>
    <w:rsid w:val="08B366C5"/>
    <w:rsid w:val="0946029E"/>
    <w:rsid w:val="0E6C5C51"/>
    <w:rsid w:val="11DC63F8"/>
    <w:rsid w:val="1C714627"/>
    <w:rsid w:val="1D311371"/>
    <w:rsid w:val="1DFD5038"/>
    <w:rsid w:val="1F3E0721"/>
    <w:rsid w:val="283763E8"/>
    <w:rsid w:val="2B086D0D"/>
    <w:rsid w:val="351C7189"/>
    <w:rsid w:val="372A58BD"/>
    <w:rsid w:val="383E24E1"/>
    <w:rsid w:val="3AB32C9E"/>
    <w:rsid w:val="3C7757E6"/>
    <w:rsid w:val="48F92051"/>
    <w:rsid w:val="4C5D6364"/>
    <w:rsid w:val="4FE74255"/>
    <w:rsid w:val="50584222"/>
    <w:rsid w:val="521374C7"/>
    <w:rsid w:val="529C047A"/>
    <w:rsid w:val="5587205E"/>
    <w:rsid w:val="606C2D41"/>
    <w:rsid w:val="619042A4"/>
    <w:rsid w:val="767F4E25"/>
    <w:rsid w:val="793F01D0"/>
    <w:rsid w:val="79A9253F"/>
    <w:rsid w:val="7F54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567</Characters>
  <Lines>4</Lines>
  <Paragraphs>1</Paragraphs>
  <TotalTime>10</TotalTime>
  <ScaleCrop>false</ScaleCrop>
  <LinksUpToDate>false</LinksUpToDate>
  <CharactersWithSpaces>665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2019-05-16T11:44:00Z</dcterms:created>
  <dc:creator>Administrator</dc:creator>
  <cp:lastModifiedBy>Administrator</cp:lastModifiedBy>
  <dcterms:modified xsi:type="dcterms:W3CDTF">2019-06-24T10:55:40Z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